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22" w:rsidRDefault="00C22122" w:rsidP="00C22122">
      <w:pPr>
        <w:ind w:left="360"/>
        <w:jc w:val="center"/>
        <w:rPr>
          <w:rFonts w:ascii="Bookman Old Style" w:hAnsi="Bookman Old Style"/>
          <w:b/>
        </w:rPr>
      </w:pPr>
      <w:r>
        <w:rPr>
          <w:rFonts w:ascii="Bookman Old Style" w:hAnsi="Bookman Old Style"/>
          <w:b/>
        </w:rPr>
        <w:t>CENTRALI UNICHE DI COMMITTENZA</w:t>
      </w:r>
    </w:p>
    <w:p w:rsidR="00C22122" w:rsidRDefault="00C22122" w:rsidP="00C22122">
      <w:pPr>
        <w:ind w:left="360"/>
        <w:jc w:val="center"/>
        <w:rPr>
          <w:rFonts w:ascii="Bookman Old Style" w:hAnsi="Bookman Old Style"/>
          <w:b/>
        </w:rPr>
      </w:pPr>
      <w:r>
        <w:rPr>
          <w:rFonts w:ascii="Bookman Old Style" w:hAnsi="Bookman Old Style"/>
          <w:b/>
        </w:rPr>
        <w:t>BREVE NOTA</w:t>
      </w:r>
    </w:p>
    <w:p w:rsidR="00C22122" w:rsidRDefault="00C22122" w:rsidP="00C22122">
      <w:pPr>
        <w:ind w:left="360"/>
        <w:jc w:val="center"/>
        <w:rPr>
          <w:rFonts w:ascii="Bookman Old Style" w:hAnsi="Bookman Old Style"/>
          <w:b/>
        </w:rPr>
      </w:pPr>
    </w:p>
    <w:p w:rsidR="00C22122" w:rsidRDefault="00C22122" w:rsidP="00C22122">
      <w:pPr>
        <w:ind w:left="360"/>
        <w:jc w:val="both"/>
        <w:rPr>
          <w:rFonts w:ascii="Bookman Old Style" w:hAnsi="Bookman Old Style"/>
          <w:b/>
        </w:rPr>
      </w:pPr>
    </w:p>
    <w:p w:rsidR="00C22122" w:rsidRDefault="00C22122" w:rsidP="00C22122">
      <w:pPr>
        <w:ind w:left="360"/>
        <w:jc w:val="both"/>
        <w:rPr>
          <w:rFonts w:ascii="Bookman Old Style" w:hAnsi="Bookman Old Style"/>
        </w:rPr>
      </w:pPr>
      <w:r>
        <w:rPr>
          <w:rFonts w:ascii="Bookman Old Style" w:hAnsi="Bookman Old Style"/>
          <w:b/>
        </w:rPr>
        <w:t>L’art. 23 del DL 201/2011</w:t>
      </w:r>
      <w:r>
        <w:rPr>
          <w:rFonts w:ascii="Bookman Old Style" w:hAnsi="Bookman Old Style"/>
        </w:rPr>
        <w:t xml:space="preserve"> convertito dalla legge 214/2011 al comma 4, aggiungendo il comma 3 bis all’articolo 33 del codice dei contratti pubblici, prevede che “</w:t>
      </w:r>
      <w:r>
        <w:rPr>
          <w:rFonts w:ascii="Bookman Old Style" w:hAnsi="Bookman Old Style"/>
          <w:i/>
          <w:u w:val="single"/>
        </w:rPr>
        <w:t>I comuni con popolazione non superiore a 5000 abitanti</w:t>
      </w:r>
      <w:r>
        <w:rPr>
          <w:rFonts w:ascii="Bookman Old Style" w:hAnsi="Bookman Old Style"/>
          <w:i/>
        </w:rPr>
        <w:t xml:space="preserve"> ricadenti nel territorio di ciascuna Provincia </w:t>
      </w:r>
      <w:r>
        <w:rPr>
          <w:rFonts w:ascii="Bookman Old Style" w:hAnsi="Bookman Old Style"/>
          <w:i/>
          <w:u w:val="single"/>
        </w:rPr>
        <w:t>affidano obbligatoriamente ad un’unica centrale di committenza</w:t>
      </w:r>
      <w:r>
        <w:rPr>
          <w:rFonts w:ascii="Bookman Old Style" w:hAnsi="Bookman Old Style"/>
          <w:i/>
        </w:rPr>
        <w:t>, di cui all’articolo 32 del testo unico di cui al decreto legislativo 18 agosto 2000, n. 267, ove esistenti, ovvero costituendo un apposito accordo consortile tra i comuni medesimi e avvalendosi dei competenti uffici”</w:t>
      </w:r>
      <w:r>
        <w:rPr>
          <w:rFonts w:ascii="Bookman Old Style" w:hAnsi="Bookman Old Style"/>
        </w:rPr>
        <w:t>. Il comma 5 dello stesso art. 23, ha previsto che la nuova disciplina “</w:t>
      </w:r>
      <w:r>
        <w:rPr>
          <w:rFonts w:ascii="Bookman Old Style" w:hAnsi="Bookman Old Style"/>
          <w:i/>
        </w:rPr>
        <w:t xml:space="preserve">si applica alle </w:t>
      </w:r>
      <w:r>
        <w:rPr>
          <w:rFonts w:ascii="Bookman Old Style" w:hAnsi="Bookman Old Style"/>
          <w:i/>
          <w:u w:val="single"/>
        </w:rPr>
        <w:t>gare bandite successivamente al 31 marzo 2012</w:t>
      </w:r>
      <w:r>
        <w:rPr>
          <w:rFonts w:ascii="Bookman Old Style" w:hAnsi="Bookman Old Style"/>
        </w:rPr>
        <w:t xml:space="preserve">”, </w:t>
      </w:r>
      <w:r>
        <w:rPr>
          <w:rFonts w:ascii="Bookman Old Style" w:hAnsi="Bookman Old Style"/>
          <w:u w:val="single"/>
        </w:rPr>
        <w:t>termine poi prorogato di dodici mesi</w:t>
      </w:r>
      <w:r>
        <w:rPr>
          <w:rFonts w:ascii="Bookman Old Style" w:hAnsi="Bookman Old Style"/>
        </w:rPr>
        <w:t xml:space="preserve">  </w:t>
      </w:r>
      <w:r>
        <w:rPr>
          <w:rFonts w:ascii="Bookman Old Style" w:hAnsi="Bookman Old Style"/>
          <w:b/>
        </w:rPr>
        <w:t xml:space="preserve">dall’art. 29, comma 11-ter del D.L.216/2011 e </w:t>
      </w:r>
      <w:r>
        <w:rPr>
          <w:rFonts w:ascii="Bookman Old Style" w:hAnsi="Bookman Old Style"/>
          <w:b/>
          <w:u w:val="single"/>
        </w:rPr>
        <w:t>ulteriormente differito</w:t>
      </w:r>
      <w:r>
        <w:rPr>
          <w:rFonts w:ascii="Bookman Old Style" w:hAnsi="Bookman Old Style"/>
          <w:b/>
        </w:rPr>
        <w:t xml:space="preserve"> al </w:t>
      </w:r>
      <w:r>
        <w:rPr>
          <w:rFonts w:ascii="Bookman Old Style" w:hAnsi="Bookman Old Style"/>
          <w:b/>
          <w:u w:val="single"/>
        </w:rPr>
        <w:t>31 dicembre 2013</w:t>
      </w:r>
      <w:r>
        <w:rPr>
          <w:rFonts w:ascii="Bookman Old Style" w:hAnsi="Bookman Old Style"/>
          <w:b/>
        </w:rPr>
        <w:t xml:space="preserve"> dall’articolo 5 ter del DL 43/2013 convertito in legge n. 71/2013, </w:t>
      </w:r>
      <w:r>
        <w:rPr>
          <w:rFonts w:ascii="Bookman Old Style" w:hAnsi="Bookman Old Style"/>
        </w:rPr>
        <w:t>facendo salvi i bandi e gli avvisi di gara pubblicati a far data dal 1 aprile 2013 fino alla data di entrata in vigore della legge.</w:t>
      </w:r>
    </w:p>
    <w:p w:rsidR="00C22122" w:rsidRDefault="00C22122" w:rsidP="00C22122">
      <w:pPr>
        <w:ind w:left="360"/>
        <w:jc w:val="both"/>
        <w:rPr>
          <w:rFonts w:ascii="Bookman Old Style" w:hAnsi="Bookman Old Style"/>
          <w:b/>
        </w:rPr>
      </w:pPr>
    </w:p>
    <w:p w:rsidR="00C22122" w:rsidRDefault="00C22122" w:rsidP="00C22122">
      <w:pPr>
        <w:ind w:left="360"/>
        <w:jc w:val="both"/>
        <w:rPr>
          <w:rFonts w:ascii="Bookman Old Style" w:hAnsi="Bookman Old Style"/>
          <w:i/>
        </w:rPr>
      </w:pPr>
      <w:r>
        <w:rPr>
          <w:rFonts w:ascii="Bookman Old Style" w:hAnsi="Bookman Old Style"/>
        </w:rPr>
        <w:t xml:space="preserve">In materia è intervenuto il </w:t>
      </w:r>
      <w:r>
        <w:rPr>
          <w:rFonts w:ascii="Bookman Old Style" w:hAnsi="Bookman Old Style"/>
          <w:b/>
        </w:rPr>
        <w:t>D.L. 95/2012  che</w:t>
      </w:r>
      <w:r>
        <w:rPr>
          <w:rFonts w:ascii="Bookman Old Style" w:hAnsi="Bookman Old Style"/>
        </w:rPr>
        <w:t xml:space="preserve"> con il </w:t>
      </w:r>
      <w:r>
        <w:rPr>
          <w:rFonts w:ascii="Bookman Old Style" w:hAnsi="Bookman Old Style"/>
          <w:b/>
        </w:rPr>
        <w:t xml:space="preserve">comma 4 dell’articolo 1 </w:t>
      </w:r>
      <w:r w:rsidRPr="00C22122">
        <w:rPr>
          <w:rFonts w:ascii="Bookman Old Style" w:hAnsi="Bookman Old Style"/>
        </w:rPr>
        <w:t xml:space="preserve">ha previsto, in </w:t>
      </w:r>
      <w:r w:rsidRPr="00C22122">
        <w:rPr>
          <w:rFonts w:ascii="Bookman Old Style" w:hAnsi="Bookman Old Style"/>
          <w:b/>
          <w:u w:val="single"/>
        </w:rPr>
        <w:t>alternativa</w:t>
      </w:r>
      <w:r w:rsidRPr="00C22122">
        <w:rPr>
          <w:rFonts w:ascii="Bookman Old Style" w:hAnsi="Bookman Old Style"/>
        </w:rPr>
        <w:t xml:space="preserve"> all’obbligo suddetto, la possibilità  per tali comuni, </w:t>
      </w:r>
      <w:r>
        <w:rPr>
          <w:rFonts w:ascii="Bookman Old Style" w:hAnsi="Bookman Old Style"/>
        </w:rPr>
        <w:t>di “</w:t>
      </w:r>
      <w:r>
        <w:rPr>
          <w:rFonts w:ascii="Bookman Old Style" w:hAnsi="Bookman Old Style"/>
          <w:i/>
        </w:rPr>
        <w:t xml:space="preserve">effettuare i  propri  acquisti attraverso gli strumenti elettronici di  acquisto  gestiti  da  altre centrali di committenza di riferimento, ivi comprese  le  convenzioni di cui all'articolo 26 della legge 23 dicembre 1999,  n.  488,  e  il mercato   elettronico   della   pubblica   amministrazione   di   cui all'articolo 328  del  decreto  del  Presidente  della  Repubblica  5 ottobre 2010, n. 207”. </w:t>
      </w:r>
      <w:r>
        <w:rPr>
          <w:rFonts w:ascii="Bookman Old Style" w:hAnsi="Bookman Old Style"/>
        </w:rPr>
        <w:t xml:space="preserve">La normativa prevede dunque, in primo luogo, che tali piccoli Comuni debbano effettuare i propri acquisti attraverso una Centrale di Committenza associandosi, quindi nell’ambito di un </w:t>
      </w:r>
      <w:r>
        <w:rPr>
          <w:rFonts w:ascii="Bookman Old Style" w:hAnsi="Bookman Old Style"/>
          <w:u w:val="single"/>
        </w:rPr>
        <w:t xml:space="preserve">Unione di Comuni </w:t>
      </w:r>
      <w:r>
        <w:rPr>
          <w:rFonts w:ascii="Bookman Old Style" w:hAnsi="Bookman Old Style"/>
        </w:rPr>
        <w:t xml:space="preserve">o consorziandosi, quindi con un apposito </w:t>
      </w:r>
      <w:r>
        <w:rPr>
          <w:rFonts w:ascii="Bookman Old Style" w:hAnsi="Bookman Old Style"/>
          <w:u w:val="single"/>
        </w:rPr>
        <w:t>accordo consortile.</w:t>
      </w:r>
      <w:r>
        <w:rPr>
          <w:rFonts w:ascii="Bookman Old Style" w:hAnsi="Bookman Old Style"/>
        </w:rPr>
        <w:t xml:space="preserve"> Successivamente è stato introdotta la possibilità, in alternativa, che essi facciano ricorso a </w:t>
      </w:r>
      <w:r>
        <w:rPr>
          <w:rFonts w:ascii="Bookman Old Style" w:hAnsi="Bookman Old Style"/>
          <w:u w:val="single"/>
        </w:rPr>
        <w:t>strumenti elettronici gestiti da altre centrali di committenza,</w:t>
      </w:r>
      <w:r>
        <w:rPr>
          <w:rFonts w:ascii="Bookman Old Style" w:hAnsi="Bookman Old Style"/>
        </w:rPr>
        <w:t xml:space="preserve"> strumenti tra i quali la normativa stessa include le </w:t>
      </w:r>
      <w:r>
        <w:rPr>
          <w:rFonts w:ascii="Bookman Old Style" w:hAnsi="Bookman Old Style"/>
          <w:u w:val="single"/>
        </w:rPr>
        <w:t>convenzioni Consip</w:t>
      </w:r>
      <w:r>
        <w:rPr>
          <w:rFonts w:ascii="Bookman Old Style" w:hAnsi="Bookman Old Style"/>
        </w:rPr>
        <w:t xml:space="preserve"> (art. 26 della legge 488/99) e il </w:t>
      </w:r>
      <w:r>
        <w:rPr>
          <w:rFonts w:ascii="Bookman Old Style" w:hAnsi="Bookman Old Style"/>
          <w:u w:val="single"/>
        </w:rPr>
        <w:t>mercato elettronico della PA</w:t>
      </w:r>
      <w:r>
        <w:rPr>
          <w:rFonts w:ascii="Bookman Old Style" w:hAnsi="Bookman Old Style"/>
        </w:rPr>
        <w:t xml:space="preserve"> (art. 328 del D.Lgs. 207/2010</w:t>
      </w:r>
      <w:r w:rsidR="00A34B4B">
        <w:rPr>
          <w:rFonts w:ascii="Bookman Old Style" w:hAnsi="Bookman Old Style"/>
        </w:rPr>
        <w:t>).</w:t>
      </w:r>
    </w:p>
    <w:p w:rsidR="00C22122" w:rsidRDefault="00C22122" w:rsidP="00C22122">
      <w:pPr>
        <w:ind w:left="360"/>
        <w:jc w:val="both"/>
        <w:rPr>
          <w:rFonts w:ascii="Bookman Old Style" w:hAnsi="Bookman Old Style"/>
        </w:rPr>
      </w:pPr>
    </w:p>
    <w:p w:rsidR="00C22122" w:rsidRDefault="00C22122" w:rsidP="00C22122">
      <w:pPr>
        <w:ind w:left="360"/>
        <w:jc w:val="both"/>
        <w:rPr>
          <w:rFonts w:ascii="Bookman Old Style" w:hAnsi="Bookman Old Style"/>
          <w:b/>
          <w:color w:val="0000FF"/>
        </w:rPr>
      </w:pPr>
    </w:p>
    <w:p w:rsidR="00C22122" w:rsidRDefault="00C22122" w:rsidP="00C22122">
      <w:pPr>
        <w:ind w:left="360"/>
        <w:jc w:val="both"/>
        <w:rPr>
          <w:rFonts w:ascii="Bookman Old Style" w:hAnsi="Bookman Old Style"/>
          <w:color w:val="000000"/>
        </w:rPr>
      </w:pPr>
      <w:r>
        <w:rPr>
          <w:rFonts w:ascii="Bookman Old Style" w:hAnsi="Bookman Old Style"/>
        </w:rPr>
        <w:t xml:space="preserve">Sempre il </w:t>
      </w:r>
      <w:r>
        <w:rPr>
          <w:rFonts w:ascii="Bookman Old Style" w:hAnsi="Bookman Old Style"/>
          <w:b/>
        </w:rPr>
        <w:t>D.L. 95/2012,</w:t>
      </w:r>
      <w:r>
        <w:rPr>
          <w:rFonts w:ascii="Bookman Old Style" w:hAnsi="Bookman Old Style"/>
        </w:rPr>
        <w:t xml:space="preserve"> con il </w:t>
      </w:r>
      <w:r>
        <w:rPr>
          <w:rFonts w:ascii="Bookman Old Style" w:hAnsi="Bookman Old Style"/>
          <w:b/>
        </w:rPr>
        <w:t xml:space="preserve">comma 3 dell’articolo 1, </w:t>
      </w:r>
      <w:r w:rsidR="00A34B4B">
        <w:rPr>
          <w:rFonts w:ascii="Bookman Old Style" w:hAnsi="Bookman Old Style"/>
          <w:b/>
        </w:rPr>
        <w:t xml:space="preserve">è </w:t>
      </w:r>
      <w:r w:rsidR="00A34B4B" w:rsidRPr="00A34B4B">
        <w:rPr>
          <w:rFonts w:ascii="Bookman Old Style" w:hAnsi="Bookman Old Style"/>
        </w:rPr>
        <w:t>intervenuto in materia</w:t>
      </w:r>
      <w:r w:rsidR="00A34B4B">
        <w:rPr>
          <w:rFonts w:ascii="Bookman Old Style" w:hAnsi="Bookman Old Style"/>
          <w:b/>
        </w:rPr>
        <w:t xml:space="preserve"> </w:t>
      </w:r>
      <w:r w:rsidR="00A34B4B" w:rsidRPr="00A34B4B">
        <w:rPr>
          <w:rFonts w:ascii="Bookman Old Style" w:hAnsi="Bookman Old Style"/>
          <w:b/>
          <w:u w:val="single"/>
        </w:rPr>
        <w:t>consentendo</w:t>
      </w:r>
      <w:r w:rsidR="00A34B4B">
        <w:rPr>
          <w:rFonts w:ascii="Bookman Old Style" w:hAnsi="Bookman Old Style"/>
          <w:b/>
        </w:rPr>
        <w:t xml:space="preserve"> </w:t>
      </w:r>
      <w:r>
        <w:rPr>
          <w:rFonts w:ascii="Bookman Old Style" w:hAnsi="Bookman Old Style"/>
        </w:rPr>
        <w:t>alle</w:t>
      </w:r>
      <w:r>
        <w:rPr>
          <w:rFonts w:ascii="Bookman Old Style" w:hAnsi="Bookman Old Style" w:cs="Courier New"/>
          <w:sz w:val="20"/>
          <w:szCs w:val="20"/>
        </w:rPr>
        <w:t xml:space="preserve"> </w:t>
      </w:r>
      <w:r>
        <w:rPr>
          <w:rFonts w:ascii="Bookman Old Style" w:hAnsi="Bookman Old Style" w:cs="Courier New"/>
        </w:rPr>
        <w:t>“</w:t>
      </w:r>
      <w:r>
        <w:rPr>
          <w:rFonts w:ascii="Bookman Old Style" w:hAnsi="Bookman Old Style"/>
          <w:i/>
        </w:rPr>
        <w:t xml:space="preserve">amministrazioni pubbliche obbligate sulla base  di  specifica normativa  ad  approvvigionarsi  attraverso  le  convenzioni  di  cui  all'articolo 26 della legge 23 dicembre 1999,  n.  488  stipulate  da  Consip S.p.A. o dalle centrali di committenza regionali costituite ai sensi dell'articolo 1, comma 455, della legge 27  dicembre  2006,  n. 296  </w:t>
      </w:r>
      <w:r>
        <w:rPr>
          <w:rFonts w:ascii="Bookman Old Style" w:hAnsi="Bookman Old Style"/>
          <w:i/>
          <w:u w:val="single"/>
        </w:rPr>
        <w:t xml:space="preserve">possono  procedere,  qualora  la  convenzione  non  sia   ancora  disponibile e in  caso  di  motivata  urgenza,  allo   svolgimento  di autonome procedure di acquisto </w:t>
      </w:r>
      <w:r>
        <w:rPr>
          <w:rFonts w:ascii="Bookman Old Style" w:hAnsi="Bookman Old Style"/>
          <w:i/>
        </w:rPr>
        <w:t xml:space="preserve"> dirette  alla  stipula  di  contratti aventi  durata  e  misura  strettamente  necessaria  e  sottoposti  a condizione  risolutiva  nel  caso  di  disponibilità della detta convenzione”. </w:t>
      </w:r>
      <w:r>
        <w:rPr>
          <w:rFonts w:ascii="Bookman Old Style" w:hAnsi="Bookman Old Style"/>
        </w:rPr>
        <w:t xml:space="preserve">Tale deroga si ritiene possa trovare applicazione, nel caso di piccoli Comuni, solo allorché non si rilevino in concreto altre possibilità alternative tra quelle indicate all’articolo 33 bis del </w:t>
      </w:r>
      <w:r>
        <w:rPr>
          <w:rFonts w:ascii="Bookman Old Style" w:hAnsi="Bookman Old Style"/>
          <w:color w:val="000000"/>
        </w:rPr>
        <w:t xml:space="preserve">D.Lgs 163/2006. </w:t>
      </w:r>
    </w:p>
    <w:p w:rsidR="00C22122" w:rsidRDefault="00C22122" w:rsidP="00C22122">
      <w:pPr>
        <w:ind w:left="360"/>
        <w:jc w:val="both"/>
        <w:rPr>
          <w:rFonts w:ascii="Bookman Old Style" w:hAnsi="Bookman Old Style"/>
          <w:color w:val="000000"/>
        </w:rPr>
      </w:pPr>
    </w:p>
    <w:p w:rsidR="00C22122" w:rsidRDefault="00C22122" w:rsidP="00C22122">
      <w:pPr>
        <w:ind w:left="360"/>
        <w:jc w:val="both"/>
        <w:rPr>
          <w:rFonts w:ascii="Bookman Old Style" w:hAnsi="Bookman Old Style"/>
        </w:rPr>
      </w:pPr>
    </w:p>
    <w:p w:rsidR="00C22122" w:rsidRPr="00C22122" w:rsidRDefault="00C22122" w:rsidP="00C22122">
      <w:pPr>
        <w:ind w:left="360"/>
        <w:jc w:val="both"/>
        <w:rPr>
          <w:rFonts w:ascii="Bookman Old Style" w:hAnsi="Bookman Old Style"/>
          <w:color w:val="000000"/>
        </w:rPr>
      </w:pPr>
      <w:r>
        <w:rPr>
          <w:rFonts w:ascii="Bookman Old Style" w:hAnsi="Bookman Old Style"/>
        </w:rPr>
        <w:t xml:space="preserve">In merito alla possibilità di mantenere in capo ai singoli enti locali la competenza all’esperimento delle </w:t>
      </w:r>
      <w:r w:rsidRPr="00C22122">
        <w:rPr>
          <w:rFonts w:ascii="Bookman Old Style" w:hAnsi="Bookman Old Style"/>
        </w:rPr>
        <w:t>procedure in economia</w:t>
      </w:r>
      <w:r>
        <w:rPr>
          <w:rFonts w:ascii="Bookman Old Style" w:hAnsi="Bookman Old Style"/>
        </w:rPr>
        <w:t xml:space="preserve"> (es. mediante gara informale), giova rammentare la </w:t>
      </w:r>
      <w:r>
        <w:rPr>
          <w:rFonts w:ascii="Bookman Old Style" w:hAnsi="Bookman Old Style"/>
          <w:b/>
        </w:rPr>
        <w:t>delibera della Corte dei Conti Sezione regionale di controllo</w:t>
      </w:r>
      <w:r>
        <w:rPr>
          <w:rFonts w:ascii="Bookman Old Style" w:hAnsi="Bookman Old Style"/>
          <w:b/>
          <w:color w:val="000000"/>
        </w:rPr>
        <w:t xml:space="preserve"> per il Piemonte (n. 271 del 4 luglio 2012</w:t>
      </w:r>
      <w:r>
        <w:rPr>
          <w:rFonts w:ascii="Bookman Old Style" w:hAnsi="Bookman Old Style"/>
          <w:color w:val="000000"/>
        </w:rPr>
        <w:t xml:space="preserve">) laddove si è chiarito che anche le acquisizioni in economia, mediante procedura di cottimo fiduciario, che prevedono l’indizione di una gara informale, debbono essere attratte alla competenza delle centrali di committenza. La stessa delibera ha altresì ritenuto che </w:t>
      </w:r>
      <w:r w:rsidRPr="00C22122">
        <w:rPr>
          <w:rFonts w:ascii="Bookman Old Style" w:hAnsi="Bookman Old Style"/>
          <w:b/>
          <w:color w:val="000000"/>
          <w:u w:val="single"/>
        </w:rPr>
        <w:t xml:space="preserve">possano </w:t>
      </w:r>
      <w:r w:rsidRPr="00C22122">
        <w:rPr>
          <w:rFonts w:ascii="Bookman Old Style" w:hAnsi="Bookman Old Style"/>
          <w:b/>
          <w:i/>
          <w:color w:val="000000"/>
          <w:u w:val="single"/>
        </w:rPr>
        <w:t xml:space="preserve">escludersi </w:t>
      </w:r>
      <w:r w:rsidRPr="00C22122">
        <w:rPr>
          <w:rFonts w:ascii="Bookman Old Style" w:hAnsi="Bookman Old Style"/>
          <w:i/>
          <w:color w:val="000000"/>
        </w:rPr>
        <w:t>dalla gestione obbligatoria</w:t>
      </w:r>
      <w:r w:rsidRPr="00C22122">
        <w:rPr>
          <w:rFonts w:ascii="Bookman Old Style" w:hAnsi="Bookman Old Style"/>
          <w:color w:val="000000"/>
        </w:rPr>
        <w:t xml:space="preserve"> delle Centrali Uniche di Committenza, </w:t>
      </w:r>
      <w:r w:rsidRPr="00C22122">
        <w:rPr>
          <w:rFonts w:ascii="Bookman Old Style" w:hAnsi="Bookman Old Style"/>
          <w:i/>
          <w:color w:val="000000"/>
        </w:rPr>
        <w:t xml:space="preserve">le acquisizioni in economia </w:t>
      </w:r>
      <w:r w:rsidRPr="00C22122">
        <w:rPr>
          <w:rFonts w:ascii="Bookman Old Style" w:hAnsi="Bookman Old Style"/>
          <w:i/>
          <w:color w:val="000000"/>
        </w:rPr>
        <w:lastRenderedPageBreak/>
        <w:t>mediante amministrazione diretta</w:t>
      </w:r>
      <w:r w:rsidRPr="00C22122">
        <w:rPr>
          <w:rFonts w:ascii="Bookman Old Style" w:hAnsi="Bookman Old Style"/>
          <w:color w:val="000000"/>
        </w:rPr>
        <w:t xml:space="preserve"> e l’affidamento diretto da parte del responsabile del procedimento dei lavori, servizi e forniture, per importi inferiori ai quarantamila euro così come previsto dall’ art 125 comma 8 e 11 del codice dei contratti pubblici.</w:t>
      </w:r>
    </w:p>
    <w:p w:rsidR="00790B93" w:rsidRDefault="00790B93"/>
    <w:sectPr w:rsidR="00790B93" w:rsidSect="00790B9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22122"/>
    <w:rsid w:val="00790B93"/>
    <w:rsid w:val="009A2E6C"/>
    <w:rsid w:val="00A34B4B"/>
    <w:rsid w:val="00C22122"/>
    <w:rsid w:val="00DB5F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122"/>
    <w:pPr>
      <w:spacing w:after="0" w:line="240"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MessaggioDiPostaElettronica15">
    <w:name w:val="StileMessaggioDiPostaElettronica151"/>
    <w:aliases w:val="StileMessaggioDiPostaElettronica151"/>
    <w:basedOn w:val="Carpredefinitoparagrafo"/>
    <w:semiHidden/>
    <w:personal/>
    <w:rsid w:val="00C22122"/>
    <w:rPr>
      <w:rFonts w:ascii="Calibri" w:hAnsi="Calibri" w:hint="default"/>
      <w:color w:val="auto"/>
    </w:rPr>
  </w:style>
</w:styles>
</file>

<file path=word/webSettings.xml><?xml version="1.0" encoding="utf-8"?>
<w:webSettings xmlns:r="http://schemas.openxmlformats.org/officeDocument/2006/relationships" xmlns:w="http://schemas.openxmlformats.org/wordprocessingml/2006/main">
  <w:divs>
    <w:div w:id="14323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2013-11-22T10:16:00Z</dcterms:created>
  <dcterms:modified xsi:type="dcterms:W3CDTF">2013-11-22T10:16:00Z</dcterms:modified>
</cp:coreProperties>
</file>